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F96" w:rsidRDefault="00780F96" w:rsidP="00780F96">
      <w:pPr>
        <w:pStyle w:val="Titolo2"/>
      </w:pPr>
      <w:r>
        <w:rPr>
          <w:rStyle w:val="mw-headline"/>
        </w:rPr>
        <w:t xml:space="preserve">Il più antico documento sopravvissuto di una gilda </w:t>
      </w:r>
      <w:r>
        <w:t xml:space="preserve"> </w:t>
      </w:r>
    </w:p>
    <w:p w:rsidR="00780F96" w:rsidRDefault="00780F96" w:rsidP="00780F96">
      <w:pPr>
        <w:pStyle w:val="NormaleWeb"/>
      </w:pPr>
      <w:r>
        <w:rPr>
          <w:rStyle w:val="notranslate"/>
          <w:b/>
          <w:bCs/>
        </w:rPr>
        <w:t>una corporazione di costruttori viene da Basilea (1248)</w:t>
      </w:r>
      <w:r>
        <w:t xml:space="preserve"> </w:t>
      </w:r>
    </w:p>
    <w:p w:rsidR="008E272E" w:rsidRDefault="008E272E" w:rsidP="008E272E">
      <w:pPr>
        <w:pStyle w:val="Sottotitolo1"/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6082"/>
        <w:gridCol w:w="45"/>
      </w:tblGrid>
      <w:tr w:rsidR="008E272E" w:rsidTr="008E272E">
        <w:trPr>
          <w:gridAfter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272E" w:rsidRDefault="008E272E">
            <w:pPr>
              <w:pStyle w:val="Titolo2"/>
              <w:spacing w:line="256" w:lineRule="auto"/>
              <w:rPr>
                <w:lang w:eastAsia="en-US"/>
              </w:rPr>
            </w:pPr>
            <w:r>
              <w:rPr>
                <w:rStyle w:val="notranslate"/>
                <w:lang w:eastAsia="en-US"/>
              </w:rPr>
              <w:t>Sommario</w:t>
            </w:r>
            <w:r>
              <w:rPr>
                <w:lang w:eastAsia="en-US"/>
              </w:rPr>
              <w:t xml:space="preserve"> </w:t>
            </w:r>
          </w:p>
        </w:tc>
      </w:tr>
      <w:tr w:rsidR="008E272E" w:rsidRPr="00780F96" w:rsidTr="008E27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272E" w:rsidRPr="00780F96" w:rsidRDefault="00780F96" w:rsidP="00EF796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5" w:anchor="Die_.C3.A4lteste_erhaltene_Urkunde" w:history="1">
              <w:r w:rsidR="008E272E" w:rsidRPr="00780F96">
                <w:rPr>
                  <w:rStyle w:val="tocnumber"/>
                  <w:rFonts w:ascii="Times New Roman" w:hAnsi="Times New Roman" w:cs="Times New Roman"/>
                  <w:b/>
                  <w:sz w:val="28"/>
                  <w:szCs w:val="28"/>
                </w:rPr>
                <w:t>1</w:t>
              </w:r>
              <w:r w:rsidRPr="00780F96">
                <w:rPr>
                  <w:rStyle w:val="tocnumber"/>
                  <w:rFonts w:ascii="Times New Roman" w:hAnsi="Times New Roman" w:cs="Times New Roman"/>
                  <w:b/>
                  <w:sz w:val="28"/>
                  <w:szCs w:val="28"/>
                </w:rPr>
                <w:t xml:space="preserve"> </w:t>
              </w:r>
              <w:r w:rsidR="008E272E" w:rsidRPr="00780F96">
                <w:rPr>
                  <w:rStyle w:val="Collegamentoipertestuale"/>
                  <w:rFonts w:ascii="Times New Roman" w:hAnsi="Times New Roman" w:cs="Times New Roman"/>
                  <w:b/>
                  <w:color w:val="auto"/>
                  <w:sz w:val="28"/>
                  <w:szCs w:val="28"/>
                </w:rPr>
                <w:t xml:space="preserve"> </w:t>
              </w:r>
              <w:r w:rsidR="008E272E" w:rsidRPr="00780F96">
                <w:rPr>
                  <w:rStyle w:val="toctext"/>
                  <w:rFonts w:ascii="Times New Roman" w:hAnsi="Times New Roman" w:cs="Times New Roman"/>
                  <w:b/>
                  <w:sz w:val="28"/>
                  <w:szCs w:val="28"/>
                  <w:u w:val="single"/>
                </w:rPr>
                <w:t>Il più antico documento superstite</w:t>
              </w:r>
            </w:hyperlink>
            <w:r w:rsidR="008E272E" w:rsidRPr="00780F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E272E" w:rsidRPr="00780F96" w:rsidRDefault="00780F96" w:rsidP="00EF7968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6" w:anchor="Leichenbeg.C3.A4ngnis" w:history="1">
              <w:r w:rsidR="008E272E" w:rsidRPr="00780F96">
                <w:rPr>
                  <w:rStyle w:val="tocnumber"/>
                  <w:rFonts w:ascii="Times New Roman" w:hAnsi="Times New Roman" w:cs="Times New Roman"/>
                  <w:b/>
                  <w:sz w:val="28"/>
                  <w:szCs w:val="28"/>
                </w:rPr>
                <w:t>1.1</w:t>
              </w:r>
              <w:r w:rsidR="008E272E" w:rsidRPr="00780F96">
                <w:rPr>
                  <w:rStyle w:val="Collegamentoipertestuale"/>
                  <w:rFonts w:ascii="Times New Roman" w:hAnsi="Times New Roman" w:cs="Times New Roman"/>
                  <w:b/>
                  <w:color w:val="auto"/>
                  <w:sz w:val="28"/>
                  <w:szCs w:val="28"/>
                </w:rPr>
                <w:t xml:space="preserve"> </w:t>
              </w:r>
              <w:r w:rsidRPr="00780F96">
                <w:rPr>
                  <w:rStyle w:val="Collegamentoipertestuale"/>
                  <w:rFonts w:ascii="Times New Roman" w:hAnsi="Times New Roman" w:cs="Times New Roman"/>
                  <w:b/>
                  <w:color w:val="auto"/>
                  <w:sz w:val="28"/>
                  <w:szCs w:val="28"/>
                </w:rPr>
                <w:t xml:space="preserve"> </w:t>
              </w:r>
              <w:r w:rsidR="008E272E" w:rsidRPr="00780F96">
                <w:rPr>
                  <w:rStyle w:val="toctext"/>
                  <w:rFonts w:ascii="Times New Roman" w:hAnsi="Times New Roman" w:cs="Times New Roman"/>
                  <w:b/>
                  <w:sz w:val="28"/>
                  <w:szCs w:val="28"/>
                  <w:u w:val="single"/>
                </w:rPr>
                <w:t>Funerali</w:t>
              </w:r>
            </w:hyperlink>
            <w:r w:rsidR="008E272E" w:rsidRPr="00780F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E272E" w:rsidRPr="00780F96" w:rsidRDefault="00780F96" w:rsidP="00EF7968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7" w:anchor="Zeugen" w:history="1">
              <w:r w:rsidR="008E272E" w:rsidRPr="00780F96">
                <w:rPr>
                  <w:rStyle w:val="tocnumber"/>
                  <w:rFonts w:ascii="Times New Roman" w:hAnsi="Times New Roman" w:cs="Times New Roman"/>
                  <w:b/>
                  <w:sz w:val="28"/>
                  <w:szCs w:val="28"/>
                </w:rPr>
                <w:t>1.2</w:t>
              </w:r>
              <w:r w:rsidR="008E272E" w:rsidRPr="00780F96">
                <w:rPr>
                  <w:rStyle w:val="Collegamentoipertestuale"/>
                  <w:rFonts w:ascii="Times New Roman" w:hAnsi="Times New Roman" w:cs="Times New Roman"/>
                  <w:b/>
                  <w:color w:val="auto"/>
                  <w:sz w:val="28"/>
                  <w:szCs w:val="28"/>
                </w:rPr>
                <w:t xml:space="preserve"> </w:t>
              </w:r>
              <w:r w:rsidRPr="00780F96">
                <w:rPr>
                  <w:rStyle w:val="Collegamentoipertestuale"/>
                  <w:rFonts w:ascii="Times New Roman" w:hAnsi="Times New Roman" w:cs="Times New Roman"/>
                  <w:b/>
                  <w:color w:val="auto"/>
                  <w:sz w:val="28"/>
                  <w:szCs w:val="28"/>
                </w:rPr>
                <w:t xml:space="preserve"> T</w:t>
              </w:r>
              <w:r w:rsidR="008E272E" w:rsidRPr="00780F96">
                <w:rPr>
                  <w:rStyle w:val="toctext"/>
                  <w:rFonts w:ascii="Times New Roman" w:hAnsi="Times New Roman" w:cs="Times New Roman"/>
                  <w:b/>
                  <w:sz w:val="28"/>
                  <w:szCs w:val="28"/>
                  <w:u w:val="single"/>
                </w:rPr>
                <w:t>estimoni</w:t>
              </w:r>
            </w:hyperlink>
            <w:r w:rsidR="008E272E" w:rsidRPr="00780F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E272E" w:rsidRPr="00780F96" w:rsidRDefault="00780F96" w:rsidP="00EF7968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8" w:anchor="Erkl.C3.A4rung_der_Wertmasse" w:history="1">
              <w:r w:rsidR="008E272E" w:rsidRPr="00780F96">
                <w:rPr>
                  <w:rStyle w:val="tocnumber"/>
                  <w:rFonts w:ascii="Times New Roman" w:hAnsi="Times New Roman" w:cs="Times New Roman"/>
                  <w:b/>
                  <w:sz w:val="28"/>
                  <w:szCs w:val="28"/>
                </w:rPr>
                <w:t>1.3</w:t>
              </w:r>
              <w:r w:rsidRPr="00780F96">
                <w:rPr>
                  <w:rStyle w:val="tocnumber"/>
                  <w:rFonts w:ascii="Times New Roman" w:hAnsi="Times New Roman" w:cs="Times New Roman"/>
                  <w:b/>
                  <w:sz w:val="28"/>
                  <w:szCs w:val="28"/>
                </w:rPr>
                <w:t xml:space="preserve"> </w:t>
              </w:r>
              <w:r w:rsidR="008E272E" w:rsidRPr="00780F96">
                <w:rPr>
                  <w:rStyle w:val="Collegamentoipertestuale"/>
                  <w:rFonts w:ascii="Times New Roman" w:hAnsi="Times New Roman" w:cs="Times New Roman"/>
                  <w:b/>
                  <w:color w:val="auto"/>
                  <w:sz w:val="28"/>
                  <w:szCs w:val="28"/>
                </w:rPr>
                <w:t xml:space="preserve"> </w:t>
              </w:r>
              <w:r w:rsidR="008E272E" w:rsidRPr="00780F96">
                <w:rPr>
                  <w:rStyle w:val="toctext"/>
                  <w:rFonts w:ascii="Times New Roman" w:hAnsi="Times New Roman" w:cs="Times New Roman"/>
                  <w:b/>
                  <w:sz w:val="28"/>
                  <w:szCs w:val="28"/>
                  <w:u w:val="single"/>
                </w:rPr>
                <w:t>Spiegazione della massa del valore</w:t>
              </w:r>
            </w:hyperlink>
            <w:r w:rsidR="008E272E" w:rsidRPr="00780F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E272E" w:rsidRPr="00780F96" w:rsidRDefault="008E272E" w:rsidP="00780F96">
            <w:pPr>
              <w:spacing w:before="100" w:beforeAutospacing="1" w:after="100" w:afterAutospacing="1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F96" w:rsidTr="008E27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96" w:rsidRPr="00780F96" w:rsidRDefault="00780F96" w:rsidP="00EF796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b/>
              </w:rPr>
            </w:pPr>
          </w:p>
        </w:tc>
      </w:tr>
    </w:tbl>
    <w:p w:rsidR="008E272E" w:rsidRDefault="008E272E" w:rsidP="00780F96">
      <w:pPr>
        <w:pStyle w:val="NormaleWeb"/>
        <w:jc w:val="both"/>
      </w:pPr>
      <w:proofErr w:type="spellStart"/>
      <w:r>
        <w:rPr>
          <w:rStyle w:val="notranslate"/>
        </w:rPr>
        <w:t>Lütold</w:t>
      </w:r>
      <w:proofErr w:type="spellEnd"/>
      <w:r>
        <w:rPr>
          <w:rStyle w:val="notranslate"/>
        </w:rPr>
        <w:t xml:space="preserve"> per grazia di Dio Vescovo di Basilea, tutti i cristiani che vedono la presente lettera, per sempre.</w:t>
      </w:r>
      <w:r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 xml:space="preserve">Tutti possono sapere che con il consiglio e il consenso di </w:t>
      </w:r>
      <w:proofErr w:type="spellStart"/>
      <w:r>
        <w:rPr>
          <w:rStyle w:val="notranslate"/>
        </w:rPr>
        <w:t>Provost</w:t>
      </w:r>
      <w:proofErr w:type="spellEnd"/>
      <w:r>
        <w:rPr>
          <w:rStyle w:val="notranslate"/>
        </w:rPr>
        <w:t xml:space="preserve"> H [</w:t>
      </w:r>
      <w:proofErr w:type="spellStart"/>
      <w:r>
        <w:rPr>
          <w:rStyle w:val="notranslate"/>
        </w:rPr>
        <w:t>einrich</w:t>
      </w:r>
      <w:proofErr w:type="spellEnd"/>
      <w:r>
        <w:rPr>
          <w:rStyle w:val="notranslate"/>
        </w:rPr>
        <w:t>], Dean W [</w:t>
      </w:r>
      <w:proofErr w:type="spellStart"/>
      <w:r>
        <w:rPr>
          <w:rStyle w:val="notranslate"/>
        </w:rPr>
        <w:t>ilheim</w:t>
      </w:r>
      <w:proofErr w:type="spellEnd"/>
      <w:r>
        <w:rPr>
          <w:rStyle w:val="notranslate"/>
        </w:rPr>
        <w:t xml:space="preserve">] e il nostro intero capitolo, così come i servi della nostra chiesa, su richiesta di muratori, stuccatori, carpentieri, </w:t>
      </w:r>
      <w:proofErr w:type="spellStart"/>
      <w:r>
        <w:rPr>
          <w:rStyle w:val="notranslate"/>
        </w:rPr>
        <w:t>Fassbinder</w:t>
      </w:r>
      <w:proofErr w:type="spellEnd"/>
      <w:r>
        <w:rPr>
          <w:rStyle w:val="notranslate"/>
        </w:rPr>
        <w:t xml:space="preserve"> e Wagner a Basilea di loro ha recentemente approvato l'ordine in onore della propria imbarcazione a beneficio della nostra città, in modo che tutti dovrebbero lavorare ed essere attivi nella propria imbarcazione.</w:t>
      </w:r>
      <w:r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>E per rendere la loro imbarcazione più degna di lode e utile, nessuno del mestiere di cui sopra dovrebbe rinunciare al viaggiatore di un altro prima della fine del suo contratto.</w:t>
      </w:r>
      <w:r>
        <w:t xml:space="preserve"> </w:t>
      </w:r>
      <w:r>
        <w:rPr>
          <w:rStyle w:val="notranslate"/>
        </w:rPr>
        <w:t>E se uno dovesse mantenere un tale servitore dopo i primi divieti ottenuti dal suo [ex] maestro, dovrebbe dare al vescovo di Basilea 3 s.</w:t>
      </w:r>
      <w:r>
        <w:t xml:space="preserve"> </w:t>
      </w:r>
      <w:r>
        <w:rPr>
          <w:rStyle w:val="notranslate"/>
        </w:rPr>
        <w:t>(1), alla luce della gilda 3 s.</w:t>
      </w:r>
      <w:r>
        <w:t xml:space="preserve"> </w:t>
      </w:r>
      <w:r>
        <w:rPr>
          <w:rStyle w:val="notranslate"/>
        </w:rPr>
        <w:t>e la fratellanza 3 s.</w:t>
      </w:r>
      <w:r>
        <w:t xml:space="preserve"> </w:t>
      </w:r>
      <w:r>
        <w:rPr>
          <w:rStyle w:val="notranslate"/>
        </w:rPr>
        <w:t>pagare per un drink.</w:t>
      </w:r>
      <w:r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 xml:space="preserve">E se qualcuno vuole appartenere alla propria arte in queste confraternite, </w:t>
      </w:r>
      <w:proofErr w:type="spellStart"/>
      <w:r>
        <w:rPr>
          <w:rStyle w:val="notranslate"/>
        </w:rPr>
        <w:t>Fassbinder</w:t>
      </w:r>
      <w:proofErr w:type="spellEnd"/>
      <w:r>
        <w:rPr>
          <w:rStyle w:val="notranslate"/>
        </w:rPr>
        <w:t xml:space="preserve"> e Wagner dovrebbero essere soli 10 s.</w:t>
      </w:r>
      <w:r>
        <w:t xml:space="preserve"> </w:t>
      </w:r>
      <w:r>
        <w:rPr>
          <w:rStyle w:val="notranslate"/>
        </w:rPr>
        <w:t>quando si entra nella luce e la fratellanza 5 s.</w:t>
      </w:r>
      <w:r>
        <w:t xml:space="preserve"> </w:t>
      </w:r>
      <w:r>
        <w:rPr>
          <w:rStyle w:val="notranslate"/>
        </w:rPr>
        <w:t>dare alla bevanda, ma gli altri, cioè i muratori o gli intonacatori o i carpentieri all'ingresso per 3 secondi.</w:t>
      </w:r>
      <w:r>
        <w:t xml:space="preserve"> </w:t>
      </w:r>
      <w:r>
        <w:rPr>
          <w:rStyle w:val="notranslate"/>
        </w:rPr>
        <w:t>alla luce e alla fratellanza 2 s.</w:t>
      </w:r>
      <w:r>
        <w:t xml:space="preserve"> </w:t>
      </w:r>
      <w:r>
        <w:rPr>
          <w:rStyle w:val="notranslate"/>
        </w:rPr>
        <w:t>pagare per un drink.</w:t>
      </w:r>
      <w:r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>Ma quelli che non vogliono essere nella loro società, come menzionato sopra, dovrebbero essere completamente esclusi dal diritto di lavorare in città a loro piacimento.</w:t>
      </w:r>
      <w:r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>Inoltre, se uno dei suddetti artigiani non è ancora stato soddisfatto da qualcuno per il suo lavoro, nessun altro lavoro dovrebbe essere svolto da quel debitore, fintanto che uno è in discussione sul suo salario.</w:t>
      </w:r>
      <w:r>
        <w:t xml:space="preserve"> </w:t>
      </w:r>
      <w:r>
        <w:rPr>
          <w:rStyle w:val="notranslate"/>
        </w:rPr>
        <w:t>Ma se qualcuno ha osato farlo, dovrebbe prendere la penalità di 9 secondi sopra menzionata.</w:t>
      </w:r>
      <w:r>
        <w:t xml:space="preserve"> </w:t>
      </w:r>
      <w:r>
        <w:rPr>
          <w:rStyle w:val="notranslate"/>
        </w:rPr>
        <w:t>il Lord Bishop, la gilda e la sofferenza della luce.</w:t>
      </w:r>
      <w:r>
        <w:t xml:space="preserve"> </w:t>
      </w:r>
    </w:p>
    <w:p w:rsidR="008E272E" w:rsidRDefault="008E272E" w:rsidP="00780F96">
      <w:pPr>
        <w:pStyle w:val="Titolo3"/>
        <w:jc w:val="both"/>
      </w:pPr>
      <w:r>
        <w:rPr>
          <w:rStyle w:val="mw-headline"/>
        </w:rPr>
        <w:t>Servizio funebre</w:t>
      </w:r>
      <w:r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>Inoltre, se una di queste fraternità è divorziata, tutti i confratelli di cui sopra dovrebbero partecipare al suo funerale con la vittima.</w:t>
      </w:r>
      <w:r>
        <w:t xml:space="preserve"> </w:t>
      </w:r>
      <w:r>
        <w:rPr>
          <w:rStyle w:val="notranslate"/>
        </w:rPr>
        <w:t>Anche se uno dei fratelli morisse fuori città a una distanza di tre miglia, se mancava la sua fortuna, avrebbe dovuto essere portato qui a spese della gilda, seppellito, e la messa funebre di 30 giorni dovrebbe essere celebrata nell'anima.</w:t>
      </w:r>
      <w:r>
        <w:t xml:space="preserve"> </w:t>
      </w:r>
      <w:r>
        <w:rPr>
          <w:rStyle w:val="notranslate"/>
        </w:rPr>
        <w:t xml:space="preserve">E se uno dei fratelli fosse rimasto lontano </w:t>
      </w:r>
      <w:r>
        <w:rPr>
          <w:rStyle w:val="notranslate"/>
        </w:rPr>
        <w:lastRenderedPageBreak/>
        <w:t>dal funerale con la vittima, avrebbe dovuto pagare mezzo chilo di cera come punizione.</w:t>
      </w:r>
      <w:r>
        <w:t xml:space="preserve"> </w:t>
      </w:r>
      <w:r>
        <w:rPr>
          <w:rStyle w:val="notranslate"/>
        </w:rPr>
        <w:t>Inoltre, ciascuno di essi dovrebbe 2 d.</w:t>
      </w:r>
      <w:r>
        <w:t xml:space="preserve"> </w:t>
      </w:r>
      <w:r>
        <w:rPr>
          <w:rStyle w:val="notranslate"/>
        </w:rPr>
        <w:t>nelle quattro Quaresima (2) alla luce nella chiesa più grande (3) a Basilea in onore del santo</w:t>
      </w:r>
      <w:r>
        <w:t xml:space="preserve"> </w:t>
      </w:r>
      <w:r>
        <w:rPr>
          <w:rStyle w:val="notranslate"/>
        </w:rPr>
        <w:t>Paga la Vergine nei giorni festivi designati.</w:t>
      </w:r>
      <w:r>
        <w:t xml:space="preserve"> </w:t>
      </w:r>
      <w:r>
        <w:rPr>
          <w:rStyle w:val="notranslate"/>
        </w:rPr>
        <w:t xml:space="preserve">Per tutto questo, diamo uno dei servi della nostra chiesa ogni anno, in modo che tutto, come è scritto sopra, sia riparato da lui in un discreto </w:t>
      </w:r>
      <w:proofErr w:type="spellStart"/>
      <w:r>
        <w:rPr>
          <w:rStyle w:val="notranslate"/>
        </w:rPr>
        <w:t>overhead</w:t>
      </w:r>
      <w:proofErr w:type="spellEnd"/>
      <w:r>
        <w:rPr>
          <w:rStyle w:val="notranslate"/>
        </w:rPr>
        <w:t xml:space="preserve"> e, se necessario, migliorato.</w:t>
      </w:r>
      <w:r>
        <w:t xml:space="preserve"> </w:t>
      </w:r>
    </w:p>
    <w:p w:rsidR="008E272E" w:rsidRDefault="00780F96" w:rsidP="00780F96">
      <w:pPr>
        <w:pStyle w:val="Titolo3"/>
        <w:jc w:val="both"/>
      </w:pPr>
      <w:r>
        <w:rPr>
          <w:rStyle w:val="mw-headline"/>
        </w:rPr>
        <w:t>T</w:t>
      </w:r>
      <w:r w:rsidR="008E272E">
        <w:rPr>
          <w:rStyle w:val="mw-headline"/>
        </w:rPr>
        <w:t>estimoni</w:t>
      </w:r>
      <w:r w:rsidR="008E272E"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 xml:space="preserve">Testimoni di questa azione sono: Heinrich von </w:t>
      </w:r>
      <w:proofErr w:type="spellStart"/>
      <w:r>
        <w:rPr>
          <w:rStyle w:val="notranslate"/>
        </w:rPr>
        <w:t>Neuenburg</w:t>
      </w:r>
      <w:proofErr w:type="spellEnd"/>
      <w:r>
        <w:rPr>
          <w:rStyle w:val="notranslate"/>
        </w:rPr>
        <w:t xml:space="preserve">, arciprete, Peter </w:t>
      </w:r>
      <w:proofErr w:type="spellStart"/>
      <w:r>
        <w:rPr>
          <w:rStyle w:val="notranslate"/>
        </w:rPr>
        <w:t>Schaler</w:t>
      </w:r>
      <w:proofErr w:type="spellEnd"/>
      <w:r>
        <w:rPr>
          <w:rStyle w:val="notranslate"/>
        </w:rPr>
        <w:t xml:space="preserve">, Vogt e Johannes suo fratello, Hugo </w:t>
      </w:r>
      <w:proofErr w:type="spellStart"/>
      <w:r>
        <w:rPr>
          <w:rStyle w:val="notranslate"/>
        </w:rPr>
        <w:t>Münch</w:t>
      </w:r>
      <w:proofErr w:type="spellEnd"/>
      <w:r>
        <w:rPr>
          <w:rStyle w:val="notranslate"/>
        </w:rPr>
        <w:t xml:space="preserve"> e suo figlio, Rudolf e Heinrich Reich, Heinrich </w:t>
      </w:r>
      <w:proofErr w:type="spellStart"/>
      <w:r>
        <w:rPr>
          <w:rStyle w:val="notranslate"/>
        </w:rPr>
        <w:t>Steinli</w:t>
      </w:r>
      <w:proofErr w:type="spellEnd"/>
      <w:r>
        <w:rPr>
          <w:rStyle w:val="notranslate"/>
        </w:rPr>
        <w:t xml:space="preserve">, </w:t>
      </w:r>
      <w:proofErr w:type="spellStart"/>
      <w:r>
        <w:rPr>
          <w:rStyle w:val="notranslate"/>
        </w:rPr>
        <w:t>Ritter</w:t>
      </w:r>
      <w:proofErr w:type="spellEnd"/>
      <w:r>
        <w:rPr>
          <w:rStyle w:val="notranslate"/>
        </w:rPr>
        <w:t xml:space="preserve"> e altri.</w:t>
      </w:r>
      <w:r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>Tuttavia, in modo che sia noi che i nostri successori possiamo sempre ottenere la forza di una maggiore sicurezza, disponiamo di documenti attuali che li confermano con l'allegato del sigillo inferiore e quello del nostro capitolo e della città bassa di Basilea.</w:t>
      </w:r>
      <w:r>
        <w:t xml:space="preserve"> </w:t>
      </w:r>
      <w:r>
        <w:rPr>
          <w:rStyle w:val="notranslate"/>
        </w:rPr>
        <w:t>Dato nell'anno del Signore 1248, nella sesta indicazione.</w:t>
      </w:r>
      <w:r>
        <w:t xml:space="preserve"> </w:t>
      </w:r>
    </w:p>
    <w:p w:rsidR="008E272E" w:rsidRDefault="008E272E" w:rsidP="00780F96">
      <w:pPr>
        <w:pStyle w:val="Titolo3"/>
        <w:jc w:val="both"/>
      </w:pPr>
      <w:r>
        <w:rPr>
          <w:rStyle w:val="mw-headline"/>
        </w:rPr>
        <w:t>Spiegazione della massa del valore</w:t>
      </w:r>
      <w:r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 xml:space="preserve">1) Spiegazione della massa del valore: 1 </w:t>
      </w:r>
      <w:proofErr w:type="spellStart"/>
      <w:r>
        <w:rPr>
          <w:rStyle w:val="notranslate"/>
        </w:rPr>
        <w:t>lb</w:t>
      </w:r>
      <w:proofErr w:type="spellEnd"/>
      <w:r>
        <w:rPr>
          <w:rStyle w:val="notranslate"/>
        </w:rPr>
        <w:t>.</w:t>
      </w:r>
      <w:r>
        <w:t xml:space="preserve"> </w:t>
      </w:r>
      <w:r>
        <w:rPr>
          <w:rStyle w:val="notranslate"/>
        </w:rPr>
        <w:t xml:space="preserve">= 1 libbra di </w:t>
      </w:r>
      <w:proofErr w:type="spellStart"/>
      <w:r>
        <w:rPr>
          <w:rStyle w:val="notranslate"/>
        </w:rPr>
        <w:t>pfennings</w:t>
      </w:r>
      <w:proofErr w:type="spellEnd"/>
      <w:r>
        <w:rPr>
          <w:rStyle w:val="notranslate"/>
        </w:rPr>
        <w:t xml:space="preserve"> d'argento = 20 scellini (s.), 1 s.</w:t>
      </w:r>
      <w:r>
        <w:t xml:space="preserve"> </w:t>
      </w:r>
      <w:r>
        <w:rPr>
          <w:rStyle w:val="notranslate"/>
        </w:rPr>
        <w:t xml:space="preserve">= 12 </w:t>
      </w:r>
      <w:proofErr w:type="spellStart"/>
      <w:r>
        <w:rPr>
          <w:rStyle w:val="notranslate"/>
        </w:rPr>
        <w:t>pfenninge</w:t>
      </w:r>
      <w:proofErr w:type="spellEnd"/>
      <w:r>
        <w:rPr>
          <w:rStyle w:val="notranslate"/>
        </w:rPr>
        <w:t xml:space="preserve"> (d.);</w:t>
      </w:r>
      <w:r>
        <w:t xml:space="preserve"> </w:t>
      </w:r>
      <w:r>
        <w:rPr>
          <w:rStyle w:val="notranslate"/>
        </w:rPr>
        <w:t>una libbra era 240 d.</w:t>
      </w:r>
      <w:r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 xml:space="preserve">2) Oltre alla grande Quaresima prima di Pasqua, si intende la Quaresima, il cosiddetto quartiere: 1. il digiuno primaverile, mercoledì prima di </w:t>
      </w:r>
      <w:proofErr w:type="spellStart"/>
      <w:r>
        <w:rPr>
          <w:rStyle w:val="notranslate"/>
        </w:rPr>
        <w:t>Reminiscere</w:t>
      </w:r>
      <w:proofErr w:type="spellEnd"/>
      <w:r>
        <w:rPr>
          <w:rStyle w:val="notranslate"/>
        </w:rPr>
        <w:t xml:space="preserve">, 2. il digiuno estivo, il mercoledì prima di </w:t>
      </w:r>
      <w:proofErr w:type="spellStart"/>
      <w:r>
        <w:rPr>
          <w:rStyle w:val="notranslate"/>
        </w:rPr>
        <w:t>Trinitatis</w:t>
      </w:r>
      <w:proofErr w:type="spellEnd"/>
      <w:r>
        <w:rPr>
          <w:rStyle w:val="notranslate"/>
        </w:rPr>
        <w:t xml:space="preserve">, 3. il digiuno autunnale, il mercoledì dopo che la croce fu alzata e 4. il digiuno invernale, mercoledì dopo </w:t>
      </w:r>
      <w:proofErr w:type="spellStart"/>
      <w:r>
        <w:rPr>
          <w:rStyle w:val="notranslate"/>
        </w:rPr>
        <w:t>Luciä</w:t>
      </w:r>
      <w:proofErr w:type="spellEnd"/>
      <w:r>
        <w:rPr>
          <w:rStyle w:val="notranslate"/>
        </w:rPr>
        <w:t>.</w:t>
      </w:r>
      <w:r>
        <w:t xml:space="preserve"> </w:t>
      </w:r>
    </w:p>
    <w:p w:rsidR="008E272E" w:rsidRDefault="008E272E" w:rsidP="00780F96">
      <w:pPr>
        <w:pStyle w:val="NormaleWeb"/>
        <w:jc w:val="both"/>
      </w:pPr>
      <w:r>
        <w:rPr>
          <w:rStyle w:val="notranslate"/>
        </w:rPr>
        <w:t>3) A Münster per illuminare il grande lampadario.</w:t>
      </w:r>
      <w:r>
        <w:t xml:space="preserve"> </w:t>
      </w:r>
    </w:p>
    <w:p w:rsidR="004B0775" w:rsidRDefault="008E272E" w:rsidP="00780F96">
      <w:pPr>
        <w:pStyle w:val="NormaleWeb"/>
        <w:jc w:val="both"/>
      </w:pPr>
      <w:r>
        <w:rPr>
          <w:rStyle w:val="notranslate"/>
        </w:rPr>
        <w:t xml:space="preserve">(da Paul </w:t>
      </w:r>
      <w:proofErr w:type="spellStart"/>
      <w:r>
        <w:rPr>
          <w:rStyle w:val="notranslate"/>
        </w:rPr>
        <w:t>Kölner</w:t>
      </w:r>
      <w:proofErr w:type="spellEnd"/>
      <w:r>
        <w:rPr>
          <w:rStyle w:val="notranslate"/>
        </w:rPr>
        <w:t xml:space="preserve">: Storia della Gilda del Tempo Spinning a Basilea e dei suoi mestieri. Basilea: </w:t>
      </w:r>
      <w:proofErr w:type="spellStart"/>
      <w:r>
        <w:rPr>
          <w:rStyle w:val="notranslate"/>
        </w:rPr>
        <w:t>Wepf</w:t>
      </w:r>
      <w:proofErr w:type="spellEnd"/>
      <w:r>
        <w:rPr>
          <w:rStyle w:val="notranslate"/>
        </w:rPr>
        <w:t xml:space="preserve"> 1931, 2a edizione 1970, </w:t>
      </w:r>
      <w:proofErr w:type="spellStart"/>
      <w:r>
        <w:rPr>
          <w:rStyle w:val="notranslate"/>
        </w:rPr>
        <w:t>pagg</w:t>
      </w:r>
      <w:proofErr w:type="spellEnd"/>
      <w:r>
        <w:rPr>
          <w:rStyle w:val="notranslate"/>
        </w:rPr>
        <w:t xml:space="preserve">. 2 e 4; </w:t>
      </w:r>
      <w:proofErr w:type="spellStart"/>
      <w:r>
        <w:rPr>
          <w:rStyle w:val="notranslate"/>
        </w:rPr>
        <w:t>lat</w:t>
      </w:r>
      <w:proofErr w:type="spellEnd"/>
      <w:r>
        <w:rPr>
          <w:rStyle w:val="notranslate"/>
        </w:rPr>
        <w:t>. 251-25</w:t>
      </w:r>
      <w:bookmarkStart w:id="0" w:name="_GoBack"/>
      <w:bookmarkEnd w:id="0"/>
      <w:r>
        <w:rPr>
          <w:rStyle w:val="notranslate"/>
        </w:rPr>
        <w:t>2.)</w:t>
      </w:r>
      <w:r>
        <w:t xml:space="preserve"> </w:t>
      </w:r>
    </w:p>
    <w:sectPr w:rsidR="004B07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C4F69"/>
    <w:multiLevelType w:val="multilevel"/>
    <w:tmpl w:val="7DE2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72E"/>
    <w:rsid w:val="00780F96"/>
    <w:rsid w:val="007E0E2C"/>
    <w:rsid w:val="008E272E"/>
    <w:rsid w:val="00EC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9CAD1"/>
  <w15:chartTrackingRefBased/>
  <w15:docId w15:val="{722F30C9-59C4-4A40-B1B9-C940EA66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72E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8E27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8E27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8E27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27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272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272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E272E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E2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ottotitolo1">
    <w:name w:val="Sottotitolo1"/>
    <w:basedOn w:val="Normale"/>
    <w:uiPriority w:val="99"/>
    <w:semiHidden/>
    <w:rsid w:val="008E2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translate">
    <w:name w:val="notranslate"/>
    <w:basedOn w:val="Carpredefinitoparagrafo"/>
    <w:rsid w:val="008E272E"/>
  </w:style>
  <w:style w:type="character" w:customStyle="1" w:styleId="mw-headline">
    <w:name w:val="mw-headline"/>
    <w:basedOn w:val="Carpredefinitoparagrafo"/>
    <w:rsid w:val="008E272E"/>
  </w:style>
  <w:style w:type="character" w:customStyle="1" w:styleId="tocnumber">
    <w:name w:val="tocnumber"/>
    <w:basedOn w:val="Carpredefinitoparagrafo"/>
    <w:rsid w:val="008E272E"/>
  </w:style>
  <w:style w:type="character" w:customStyle="1" w:styleId="toctext">
    <w:name w:val="toctext"/>
    <w:basedOn w:val="Carpredefinitoparagrafo"/>
    <w:rsid w:val="008E2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late.googleusercontent.com/translate_c?depth=1&amp;hl=it&amp;prev=search&amp;rurl=translate.google.com&amp;sl=de&amp;sp=nmt4&amp;u=https://freimaurer-wiki.de/index.php/%25C3%2584lteste_Zunft-Urkunde&amp;usg=ALkJrhizkAsjxzXE9_dND64eMpVIz295z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anslate.googleusercontent.com/translate_c?depth=1&amp;hl=it&amp;prev=search&amp;rurl=translate.google.com&amp;sl=de&amp;sp=nmt4&amp;u=https://freimaurer-wiki.de/index.php/%25C3%2584lteste_Zunft-Urkunde&amp;usg=ALkJrhizkAsjxzXE9_dND64eMpVIz295z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late.googleusercontent.com/translate_c?depth=1&amp;hl=it&amp;prev=search&amp;rurl=translate.google.com&amp;sl=de&amp;sp=nmt4&amp;u=https://freimaurer-wiki.de/index.php/%25C3%2584lteste_Zunft-Urkunde&amp;usg=ALkJrhizkAsjxzXE9_dND64eMpVIz295zw" TargetMode="External"/><Relationship Id="rId5" Type="http://schemas.openxmlformats.org/officeDocument/2006/relationships/hyperlink" Target="https://translate.googleusercontent.com/translate_c?depth=1&amp;hl=it&amp;prev=search&amp;rurl=translate.google.com&amp;sl=de&amp;sp=nmt4&amp;u=https://freimaurer-wiki.de/index.php/%25C3%2584lteste_Zunft-Urkunde&amp;usg=ALkJrhizkAsjxzXE9_dND64eMpVIz295z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dc:description/>
  <cp:lastModifiedBy>Franco</cp:lastModifiedBy>
  <cp:revision>2</cp:revision>
  <dcterms:created xsi:type="dcterms:W3CDTF">2020-03-20T16:34:00Z</dcterms:created>
  <dcterms:modified xsi:type="dcterms:W3CDTF">2020-03-26T13:56:00Z</dcterms:modified>
</cp:coreProperties>
</file>